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ela-Siatka"/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83"/>
      </w:tblGrid>
      <w:tr>
        <w:trPr/>
        <w:tc>
          <w:tcPr>
            <w:tcW w:w="14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kierunku: HISTORIA SZTUKI</w:t>
            </w:r>
          </w:p>
        </w:tc>
      </w:tr>
      <w:tr>
        <w:trPr/>
        <w:tc>
          <w:tcPr>
            <w:tcW w:w="14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Poziom studiów: studia II stopnia</w:t>
            </w:r>
          </w:p>
        </w:tc>
      </w:tr>
      <w:tr>
        <w:trPr/>
        <w:tc>
          <w:tcPr>
            <w:tcW w:w="14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Poziom Polskiej Ramy Kwalifikacji: poziom 7</w:t>
            </w:r>
          </w:p>
        </w:tc>
      </w:tr>
      <w:tr>
        <w:trPr/>
        <w:tc>
          <w:tcPr>
            <w:tcW w:w="14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Profil studiów: ogólnouniwersytecki</w:t>
            </w:r>
          </w:p>
        </w:tc>
      </w:tr>
      <w:tr>
        <w:trPr/>
        <w:tc>
          <w:tcPr>
            <w:tcW w:w="14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Dziedzina: nauki humanistyczne</w:t>
            </w:r>
          </w:p>
        </w:tc>
      </w:tr>
      <w:tr>
        <w:trPr/>
        <w:tc>
          <w:tcPr>
            <w:tcW w:w="14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Dyscyplina/Dyscypliny</w:t>
            </w:r>
            <w:r>
              <w:rPr>
                <w:rStyle w:val="Zakotwiczenieprzypisukocowego"/>
              </w:rPr>
              <w:endnoteReference w:id="2"/>
            </w:r>
            <w:r>
              <w:rPr/>
              <w:t>: nauki o sztuce</w:t>
            </w:r>
          </w:p>
        </w:tc>
      </w:tr>
      <w:tr>
        <w:trPr/>
        <w:tc>
          <w:tcPr>
            <w:tcW w:w="14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Cykl kształcenia od roku akademickiego: 2022/</w:t>
            </w:r>
            <w:r>
              <w:rPr/>
              <w:t>2023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ela-Siatka"/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83"/>
      </w:tblGrid>
      <w:tr>
        <w:trPr/>
        <w:tc>
          <w:tcPr>
            <w:tcW w:w="14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Efekty uczenia się dla przedmiotów ogólnouniwersyteckich (lektoraty, wychowanie fizyczne, przedsiębiorczość, przedmioty misyjne) określone są w odrębnych uchwałach Senatu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56"/>
        <w:gridCol w:w="81"/>
        <w:gridCol w:w="6587"/>
        <w:gridCol w:w="51"/>
        <w:gridCol w:w="1490"/>
        <w:gridCol w:w="47"/>
        <w:gridCol w:w="1479"/>
        <w:gridCol w:w="62"/>
        <w:gridCol w:w="1445"/>
        <w:gridCol w:w="95"/>
        <w:gridCol w:w="1398"/>
        <w:gridCol w:w="12"/>
      </w:tblGrid>
      <w:tr>
        <w:trPr>
          <w:trHeight w:val="1998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Symbol</w:t>
            </w:r>
          </w:p>
          <w:p>
            <w:pPr>
              <w:pStyle w:val="Normal"/>
              <w:spacing w:lineRule="atLeast" w:line="24" w:before="0" w:after="0"/>
              <w:ind w:firstLine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efektu kierunkowego</w:t>
            </w:r>
          </w:p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71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Kierunkowe efekty uczenia się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2129" w:leader="none"/>
              </w:tabs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Odniesienie do</w:t>
            </w:r>
          </w:p>
          <w:p>
            <w:pPr>
              <w:pStyle w:val="Normal"/>
              <w:tabs>
                <w:tab w:val="left" w:pos="2129" w:leader="none"/>
              </w:tabs>
              <w:spacing w:lineRule="atLeast" w:line="24" w:before="0"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</w:rPr>
              <w:t>Uniwersalnych charakterystyk pierwszego stopnia poziomów 6-8 PRK</w:t>
            </w:r>
            <w:r>
              <w:rPr>
                <w:rStyle w:val="Zakotwiczenieprzypisukocowego"/>
                <w:rFonts w:cs="Arial" w:ascii="Arial" w:hAnsi="Arial"/>
                <w:sz w:val="18"/>
                <w:szCs w:val="18"/>
              </w:rPr>
              <w:endnoteReference w:id="3"/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2129" w:leader="none"/>
              </w:tabs>
              <w:spacing w:lineRule="atLeast" w:line="24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Odniesienie do charakterystyk drugiego stopnia poziomów 6-8 PRK</w:t>
            </w:r>
            <w:r>
              <w:rPr>
                <w:rStyle w:val="Zakotwiczenieprzypisukocowego"/>
                <w:rFonts w:cs="Arial" w:ascii="Arial" w:hAnsi="Arial"/>
                <w:sz w:val="18"/>
                <w:szCs w:val="18"/>
              </w:rPr>
              <w:endnoteReference w:id="4"/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2129" w:leader="none"/>
              </w:tabs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left" w:pos="2129" w:leader="none"/>
              </w:tabs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left" w:pos="2129" w:leader="none"/>
              </w:tabs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Odniesienie do charakterystyk drugiego stopnia poziomów 6 i 7 PRK dla dziedziny sztuki</w:t>
            </w:r>
            <w:r>
              <w:rPr>
                <w:rStyle w:val="Zakotwiczenieprzypisukocowego"/>
                <w:rFonts w:cs="Arial" w:ascii="Arial" w:hAnsi="Arial"/>
                <w:sz w:val="18"/>
                <w:szCs w:val="18"/>
              </w:rPr>
              <w:endnoteReference w:id="5"/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2129" w:leader="none"/>
              </w:tabs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left" w:pos="2129" w:leader="none"/>
              </w:tabs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Odniesienie do charakterystyk drugiego stopnia poziomów 6 i 7 PRK dla kwalifikacji inżynierskich</w:t>
            </w:r>
            <w:r>
              <w:rPr>
                <w:rStyle w:val="Zakotwiczenieprzypisukocowego"/>
                <w:rFonts w:cs="Arial" w:ascii="Arial" w:hAnsi="Arial"/>
                <w:sz w:val="18"/>
                <w:szCs w:val="18"/>
              </w:rPr>
              <w:endnoteReference w:id="6"/>
            </w:r>
          </w:p>
        </w:tc>
      </w:tr>
      <w:tr>
        <w:trPr>
          <w:trHeight w:val="40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Wiedza: </w:t>
            </w:r>
            <w:r>
              <w:rPr>
                <w:rFonts w:cs="Arial" w:ascii="Arial" w:hAnsi="Arial"/>
                <w:b/>
                <w:kern w:val="2"/>
                <w:sz w:val="18"/>
                <w:szCs w:val="18"/>
              </w:rPr>
              <w:t>absolwent zna i rozumie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Kod składnika opisu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2129" w:leader="none"/>
              </w:tabs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Kod składnika opisu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Kod składnika opisu</w:t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Kod składnika opisu</w:t>
            </w:r>
          </w:p>
        </w:tc>
      </w:tr>
      <w:tr>
        <w:trPr>
          <w:trHeight w:val="40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K_W01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zna współczesne kierunki rozwoju badań nad sztuką, identyfikuje najważniejsze orientacje badawcze i modele metodologiczne, rozumie najważniejsze odnoszące się do dzieł sztuki metody analizy, interpretacji, wartościowania i problematyzowania właściwe dla wybranych tradycji, teorii lub szkół badawczych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P7U_W1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2129" w:leader="none"/>
              </w:tabs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P7S_WG2 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8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K_W02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zna w sposób pogłębiony dzieje teoretycznej refleksji nad sztuką (architekturą i sztukami plastycznymi) obejmującej zagadnienia z zakresu filozofii, estetyki, teorii i historiografii sztuki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P7U_W1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2129" w:leader="none"/>
              </w:tabs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P7S_WG1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8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K_W03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zna w pogłębionym stopniu wybrane zagadnienia dziejów sztuki w ich uwarunkowaniach kulturowych, historycznych, społecznych i religijnych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P7U_W1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P7S_WG1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8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K_W04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rozumie złożone funkcje sztuki w świecie nowych mediów i cywilizacyjnych dylematów współczesności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P7U_W2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P7S_WK1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8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K_W05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zna w pogłębionym stopniu problemy współczesnej krytyki artystycznej oraz wystawiennictwa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P7U_W2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P7S_WG1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8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K_W06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zna zasady ochrony własności intelektualnej i rozumie jej znaczenie w pracy historyka sztuki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P7U_W2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P7S_WK2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8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K_W07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rozumie dylematy współczesnej kultury wizualnej oraz kontrowersje z nią związane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P7U_W2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P7S_WK1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8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K_W08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zna podstawowe zasady tworzenia i rozwoju różnych form przedsiębiorczości w zakresie różnych form kultury, organizacji wydarzeń kulturalno-naukowych, obrotu dziełami sztuki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P7U_W2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P7S_WK3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8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K_W09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zna w pogłębionym stopniu problemy współczesnej ochrony zabytków w aspekcie prawnym, konserwatorskim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P7U_W2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P7S_WK2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85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Umiejętności: absolwent potrafi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Kod składnika opisu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2129" w:leader="none"/>
              </w:tabs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Kod składnika opisu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Kod składnika opisu</w:t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Kod składnika opisu</w:t>
            </w:r>
          </w:p>
        </w:tc>
      </w:tr>
      <w:tr>
        <w:trPr>
          <w:trHeight w:val="485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K_U01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potrafi w pogłębiony sposób wyjaśnić związki historii sztuki z innymi dyscyplinami nauki, co umożliwia rozpatrywanie wybranych zagadnień w perspektywie interdyscyplinarnej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P7U_U1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P7S_UW1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48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K_U02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potrafi, uwzględniając specyfikę działania instytucji kultury, przygotować wystawę sztuki dawnej lub współczesnej, scenariusz lekcji muzealnej, strategię promocyjną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P7U_U1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P7S_UW1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48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K_U03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potrafi formułować i testować hipotezy związane z prostymi problemami badawczymi, prezentować je i poddawać krytyce, wykazując samodzielność jako badacz sztuki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P7U_U1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P7S_UW3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48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K_U04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potrafi kierować pracą zespołu oraz przyjmować w nim kierowniczą rolę organizując wystawy, lekcje muzealne oraz inne działania o charakterze upowszechniania wiedzy i kultury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P7U_U1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P7S_UO1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48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K_U05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 xml:space="preserve">potrafi komunikować wiedzę specjalistycznym językiem z zakresu wiedzy o sztuce porozumiewając się z różnymi odbiorcami 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P7U_U3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P7S_UK1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48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K_U06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potrafi posługiwać się językiem obcym na poziomie B2+ Europejskiego Systemu Opisu Kształcenia Językowego, używając specjalistycznej terminologii z zakresu wiedzy o sztuce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P7U_U3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P7S_UK3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48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K_U07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potrafi współpracować w zespole, wykonując różne zadania wynikające z działań w zakresie muzealnictwa, wystawiennictwa, upowszechniania wiedzy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P7U_U1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P7S_UO2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48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K_U08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potrafi wypowiadać się prezentując i oceniając różne stanowiska z zakresu nauk o sztuce, potrafi zainicjować debatę i ją poprowadzić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P7U_U3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P7S_UK2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48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K_U09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 xml:space="preserve">potrafi zaplanować własny rozwój, wykazuje stałą potrzebę doskonalenia umiejętności i pogłębiania posiadanej wiedzy oraz potrzebę budowania tej świadomości u innych 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P7U_U2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P7S_UU1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48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K_U10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potrafi przeprowadzić krytyczną analizę i interpretację dzieł sztuki oraz zjawisk artystycznych wykorzystując pogłębioną wiedzę teoretyczną z zakresu historii sztuki i odwołując się do osiągnięć innych dyscyplin humanistyki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P7U_U1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P7S_UW1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484" w:hRule="atLeast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firstLine="7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K_U11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potrafi współorganizować i inicjować działania na rzecz zróżnicowanych potrzeb środowiska społecznego jako przyszły pracownik instytucji kultury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P7U_U3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P7S_UK1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484" w:hRule="atLeast"/>
        </w:trPr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6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Kompetencje społeczne: absolwent jest gotów do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Kod składnika opisu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2129" w:leader="none"/>
              </w:tabs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Kod składnika opisu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Kod składnika opisu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Kod składnika opisu</w:t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84" w:hRule="atLeast"/>
        </w:trPr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softHyphen/>
              <w:t>K_K01</w:t>
            </w:r>
          </w:p>
        </w:tc>
        <w:tc>
          <w:tcPr>
            <w:tcW w:w="6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jest gotów do formułowania własnych sądów dotyczących posiadanej wiedzy i odbieranych treści oraz poddawania się ocenie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P7U_K2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P7S_KK1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84" w:hRule="atLeast"/>
        </w:trPr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K_K02</w:t>
            </w:r>
          </w:p>
        </w:tc>
        <w:tc>
          <w:tcPr>
            <w:tcW w:w="6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jest gotów do uznania znaczenia wiedzy w rozwiązywaniu problemów poznawczych i praktycznych oraz nieustannego pogłębiania jej we współpracy z ekspertami, po których opinie sięga, gdy napotyka trudności w samodzielnym rozwiązaniu problemu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P7U_K2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P7S_KK2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84" w:hRule="atLeast"/>
        </w:trPr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K_K03</w:t>
            </w:r>
          </w:p>
        </w:tc>
        <w:tc>
          <w:tcPr>
            <w:tcW w:w="6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inspiruje i organizuje działania na rzecz dziedzictwa kulturowego regionu, kraju, Europy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P7U_K1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P7S_KO1</w:t>
            </w:r>
          </w:p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P7S_KO2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84" w:hRule="atLeast"/>
        </w:trPr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K_K04</w:t>
            </w:r>
          </w:p>
        </w:tc>
        <w:tc>
          <w:tcPr>
            <w:tcW w:w="6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jest gotów do pełnienia ról zawodowych przestrzegając zasad etyki zawodowej pracownika instytucji kultury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P7U-K1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P7S_KR1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84" w:hRule="atLeast"/>
        </w:trPr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K_K05</w:t>
            </w:r>
          </w:p>
        </w:tc>
        <w:tc>
          <w:tcPr>
            <w:tcW w:w="6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jest gotów do zaangażowania się w sposób przedsiębiorczy w działania instytucji kultury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P7U_K3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P7S_KO3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84" w:hRule="atLeast"/>
        </w:trPr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K_K06</w:t>
            </w:r>
          </w:p>
        </w:tc>
        <w:tc>
          <w:tcPr>
            <w:tcW w:w="6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ind w:left="284" w:hanging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jest gotów na uczestnictwo w grupach, organizacjach i instytucjach zajmujących się kulturą, działalnością muzealną, wystawienniczą, pełnienia w nich odpowiedzialnych ról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P7U_K3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P7S_KR1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tLeast" w:line="24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endnotePr>
        <w:numFmt w:val="lowerRoman"/>
      </w:endnotePr>
      <w:type w:val="nextPage"/>
      <w:pgSz w:orient="landscape" w:w="16838" w:h="11906"/>
      <w:pgMar w:left="1417" w:right="1417" w:header="708" w:top="993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rPr/>
      </w:pPr>
      <w:r>
        <w:rPr>
          <w:rStyle w:val="Endnotereference"/>
        </w:rPr>
        <w:endnoteRef/>
        <w:tab/>
      </w:r>
      <w:r>
        <w:rPr/>
        <w:t xml:space="preserve"> </w:t>
      </w:r>
      <w:r>
        <w:rPr/>
        <w:t>W przypadku przyporządkowania kierunku do więcej niż jednej dyscypliny, należy wskazać dyscyplinę wiodącą.</w:t>
      </w:r>
    </w:p>
    <w:p>
      <w:pPr>
        <w:pStyle w:val="Endnotetext"/>
        <w:rPr/>
      </w:pPr>
      <w:r>
        <w:rPr/>
      </w:r>
    </w:p>
  </w:endnote>
  <w:endnote w:id="3">
    <w:p>
      <w:pPr>
        <w:pStyle w:val="Footnotetext"/>
        <w:spacing w:before="0" w:after="200"/>
        <w:rPr/>
      </w:pPr>
      <w:r>
        <w:rPr/>
        <w:endnoteRef/>
      </w:r>
    </w:p>
  </w:endnote>
  <w:endnote w:id="4">
    <w:p>
      <w:pPr>
        <w:pStyle w:val="Footnotetext"/>
        <w:spacing w:before="0" w:after="200"/>
        <w:rPr/>
      </w:pPr>
      <w:r>
        <w:rPr/>
        <w:endnoteRef/>
      </w:r>
    </w:p>
  </w:endnote>
  <w:endnote w:id="5">
    <w:p>
      <w:pPr>
        <w:pStyle w:val="Footnotetext"/>
        <w:spacing w:before="0" w:after="200"/>
        <w:rPr/>
      </w:pPr>
      <w:r>
        <w:rPr/>
        <w:endnoteRef/>
      </w:r>
    </w:p>
  </w:endnote>
  <w:endnote w:id="6">
    <w:p>
      <w:pPr>
        <w:pStyle w:val="Endnotetext"/>
        <w:rPr/>
      </w:pPr>
      <w:r>
        <w:rPr/>
        <w:endnoteRef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899243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2 do dokumentacji programowej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35d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fc35d4"/>
    <w:rPr>
      <w:rFonts w:ascii="Calibri" w:hAnsi="Calibri" w:eastAsia="Calibri" w:cs="Times New Roman"/>
      <w:sz w:val="20"/>
      <w:szCs w:val="20"/>
      <w:lang w:val="x-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c35d4"/>
    <w:rPr>
      <w:rFonts w:ascii="Calibri" w:hAnsi="Calibri" w:eastAsia="Calibri" w:cs="Times New Roman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35d4"/>
    <w:rPr>
      <w:rFonts w:ascii="Calibri" w:hAnsi="Calibri" w:eastAsia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c35d4"/>
    <w:rPr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c35d4"/>
    <w:rPr>
      <w:rFonts w:ascii="Calibri" w:hAnsi="Calibri" w:eastAsia="Calibri" w:cs="Times New Roman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qFormat/>
    <w:rsid w:val="00fc35d4"/>
    <w:pPr/>
    <w:rPr>
      <w:sz w:val="20"/>
      <w:szCs w:val="20"/>
      <w:lang w:val="x-none"/>
    </w:rPr>
  </w:style>
  <w:style w:type="paragraph" w:styleId="Gwka">
    <w:name w:val="Header"/>
    <w:basedOn w:val="Normal"/>
    <w:link w:val="NagwekZnak"/>
    <w:uiPriority w:val="99"/>
    <w:unhideWhenUsed/>
    <w:rsid w:val="00fc35d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fc35d4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fc35d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c35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endnotes" Target="end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4082-7347-47F5-B5FC-AF4CE8D1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LibreOffice/5.4.3.2$Windows_x86 LibreOffice_project/92a7159f7e4af62137622921e809f8546db437e5</Application>
  <Pages>4</Pages>
  <Words>718</Words>
  <Characters>5020</Characters>
  <CharactersWithSpaces>5601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2021-12-29T17:33:00Z</dcterms:created>
  <dc:creator>Aneta Kramiszewska</dc:creator>
  <dc:description/>
  <dc:language>pl-PL</dc:language>
  <cp:lastModifiedBy/>
  <dcterms:modified xsi:type="dcterms:W3CDTF">2022-02-11T12:34:39Z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