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ultura Irlandii i Walii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Mark Ó Fionnáin/dr A.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4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54"/>
        <w:gridCol w:w="2255"/>
        <w:gridCol w:w="2253"/>
        <w:gridCol w:w="2372"/>
        <w:tblGridChange w:id="0">
          <w:tblGrid>
            <w:gridCol w:w="2254"/>
            <w:gridCol w:w="2255"/>
            <w:gridCol w:w="2253"/>
            <w:gridCol w:w="237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7097"/>
        <w:tblGridChange w:id="0">
          <w:tblGrid>
            <w:gridCol w:w="2233"/>
            <w:gridCol w:w="7097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1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10"/>
        <w:tblGridChange w:id="0">
          <w:tblGrid>
            <w:gridCol w:w="9310"/>
          </w:tblGrid>
        </w:tblGridChange>
      </w:tblGrid>
      <w:tr>
        <w:trPr>
          <w:cantSplit w:val="0"/>
          <w:trHeight w:val="71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Zrozumienie charakteru i specyfiki kultury irlandzkiej i walijskiej od czasów starożytnych po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współczesność.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i zrozumienie historii studiów irlandzkich i walijskich jako dyscypliny naukowej.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Uzyskanie wiedzy w zakresie źródeł kultury irlandzkie i walijskiej i zjawisk współcześnie w nich występujących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732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27"/>
        <w:gridCol w:w="5567"/>
        <w:gridCol w:w="2138"/>
        <w:tblGridChange w:id="0">
          <w:tblGrid>
            <w:gridCol w:w="1027"/>
            <w:gridCol w:w="5567"/>
            <w:gridCol w:w="2138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rodzaje tekstów kultury oraz opisuje metody ich analizy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funkcjonowanie kultury irlandzkiej i walijskiej w odniesieniu do kultury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różne wytwory kultury irlandzkiej i walijskiej w zakresie literaturoznawstwa, językoznawstwa i kulturoznawstwa.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wykrywa i analizuje proste społeczne i kulturowe zależności między kulturą i zmianami językowymi w Irlandii i Walii.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znajduje i analizuje proste teksty kultury z walijskiego/irlandzkiego kręgu kulturowego z użyciem adekwatnych narzędzi badawczych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logiczne i precyzyjne wypowiedzi ustne w j. angielskim przedstawiające różne stanowiska i opinie z zakresu kultury Irlandii/Walii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K_U05,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wypowiedzi ustne z użyciem terminologii charakterystycznej dla kulturoznawstwa walijskiego/irlandzkiego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informacje dotyczące kultury walijskiej/irlandzkiej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korzysta z wytworów kultury irlandzkiej i wykazuje aktywne zainteresowanie jej różnorodnymi wytworami.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rHeight w:val="58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Irish Language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History to 1603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History from 1603 – 1922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history 1922 – now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Northern Ireland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Sport – Hurling and Gaelic football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Traditional Irish Music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Dancing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Legends – Cú Chulainn and Fionn Mac Cumhaill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Mythology – Leprechauns, Banshees, the Púca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English Language in Ireland – Hiberno-English and Ulster Scots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Irish Stereotypes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St. Patrick’s Day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Places and Items of Historical Interest – Brú na Bóinne, Gleann Dá Loch, manuscripts, crosses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8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Saints Colm Cille and Bridget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32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rHeight w:val="564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do historii Walii i języka walijskiego, język walijski na tle języków Indoeuropejskich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j. walijskiego/podstawowe wiadomości geograficzne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 /walijskie symbole narodowe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 /święta i tradycje ludowe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walijskiego/wstęp do historii Walii cz. 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 /wstęp do historii Walii cz. II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walijskiego/walijska tradycja poetycka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 /literatura walijskojęzyczna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walijskiego/walijska literatura anglojęzyczna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walijskiego/mitologia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walijskiego/media walijskie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 współczesna muzyka walijska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walijskiego/ dialekty j. walijskiego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studentów/ praktyczna nauka j. walijskiego / walijska odmiana j. angielskiego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obejmujący materiał z całego semestru: praktyczna nauka j. walijskiego i elementy kulturowe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173.999999999998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7"/>
        <w:gridCol w:w="2787"/>
        <w:gridCol w:w="2658"/>
        <w:tblGridChange w:id="0">
          <w:tblGrid>
            <w:gridCol w:w="1082"/>
            <w:gridCol w:w="2647"/>
            <w:gridCol w:w="2787"/>
            <w:gridCol w:w="2658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Sprawdzian pisemny /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sprawdzian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Sprawdzian pisemny /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sprawdzian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Sprawdzian pisemny /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sprawdzian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Sprawdzian pisemny /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/ Karta oceny prezentacji /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Sprawdzian pisemny /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/ Karta oceny prezentacji /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Sprawdzian pisemny /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/ Karta oceny prezentacji /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/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88.0000000000000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Studenci oceniani są na podstawie: kolokwiów i zadań domowych (25 punktów), prezentacji (25 punktów) oraz testu semestralnego obejmującego materiał z prezentacji, językowy i ‘kulturówkowy’ (50 punktów). Możliwe są 2 nieobecności nieusprawiedliwione i każda następna skutkuje obniżeniem oceny końcowej o pół stopnia. Nieusprawiedliwiona zaświadczeniem lekarskim nieobecność na teście semestralnym powoduje utratę możliwości zdobycia 50 punktów.</w:t>
      </w:r>
    </w:p>
    <w:p w:rsidR="00000000" w:rsidDel="00000000" w:rsidP="00000000" w:rsidRDefault="00000000" w:rsidRPr="00000000" w14:paraId="000000F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88.0000000000000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Kryteria oceny prezentacji: </w:t>
      </w:r>
    </w:p>
    <w:p w:rsidR="00000000" w:rsidDel="00000000" w:rsidP="00000000" w:rsidRDefault="00000000" w:rsidRPr="00000000" w14:paraId="000000F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88.0000000000000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88.00000000000006" w:lineRule="auto"/>
        <w:ind w:left="1080" w:hanging="36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Przedstawienie treści prezentacji z pamięci (bez czytania lub czytania fragmentów skopiowanych np z internetu)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10 punktów</w:t>
      </w:r>
    </w:p>
    <w:p w:rsidR="00000000" w:rsidDel="00000000" w:rsidP="00000000" w:rsidRDefault="00000000" w:rsidRPr="00000000" w14:paraId="000000F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88.00000000000006" w:lineRule="auto"/>
        <w:ind w:left="1080" w:hanging="36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Poprawna wymowa, w tym nazw/nazwisk angielskich i walijskich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10 punktów</w:t>
      </w:r>
    </w:p>
    <w:p w:rsidR="00000000" w:rsidDel="00000000" w:rsidP="00000000" w:rsidRDefault="00000000" w:rsidRPr="00000000" w14:paraId="000000F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88.00000000000006" w:lineRule="auto"/>
        <w:ind w:left="1080" w:hanging="36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Przedstawienie prezentacji w terminie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5 punktów</w:t>
      </w:r>
    </w:p>
    <w:p w:rsidR="00000000" w:rsidDel="00000000" w:rsidP="00000000" w:rsidRDefault="00000000" w:rsidRPr="00000000" w14:paraId="000000F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88.00000000000006" w:lineRule="auto"/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Każdy podstawowy błąd gramatyczny (np. ‘he have’) skutkuje utratą 2 punktów</w:t>
      </w:r>
    </w:p>
    <w:p w:rsidR="00000000" w:rsidDel="00000000" w:rsidP="00000000" w:rsidRDefault="00000000" w:rsidRPr="00000000" w14:paraId="000000F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88.00000000000006" w:lineRule="auto"/>
        <w:ind w:left="108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before="240" w:line="288.0000000000000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93–100%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85–92%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69–76%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60–68%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88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33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725"/>
        <w:tblGridChange w:id="0">
          <w:tblGrid>
            <w:gridCol w:w="4605"/>
            <w:gridCol w:w="472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332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źródła irlandzkie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Foster, R. F., ed. (1989),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Oxford Illustrated History of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Gantz, Jeffrey (1982),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Early Irish Myths and Sagas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Kiberd, Declan (1997),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Inventing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Mytum, Harold (1992),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Origins of Early Christian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O’Rahilly, Thomas (1976),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Early Irish History and Mythology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Thomas Kinsella (1969)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Táin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źródła walijskie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Davies, John (2007)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Wales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Penguin.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Griffiths, Bruce (2006) “The Welsh Academy English-Welsh Dictionary”. Cardiff, University of Wales Press.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Johnston, Dafydd. (1994).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Pocket Guide to the Literature of Wales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Cardiff, University of Wales Press.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j. walijskiego ‘Saysomethinginwelsh’: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https://www.saysomethingin.com/welsh/course1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Otherworld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Mabinogi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2003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Welsh Mythology and Folklore in Popular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(2011), ed. Audrey L. Becker and Kristin Noone,  McFarland &amp; Company, London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hanging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New History of Ireland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Vols 1-8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Ross, David.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Wales: History of a 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Lanark, 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autorskie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6"/>
      <w:numFmt w:val="upperRoman"/>
      <w:lvlText w:val="%1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color="00000a" w:val="none"/>
      <w:vertAlign w:val="baseline"/>
      <w:lang w:val="en-US"/>
    </w:r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5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5">
    <w:name w:val="Imported Style 5"/>
    <w:pPr>
      <w:numPr>
        <w:numId w:val="19"/>
      </w:numPr>
    </w:pPr>
  </w:style>
  <w:style w:type="numbering" w:styleId="Imported Style 6">
    <w:name w:val="Imported Style 6"/>
    <w:pPr>
      <w:numPr>
        <w:numId w:val="22"/>
      </w:numPr>
    </w:pPr>
  </w:style>
  <w:style w:type="numbering" w:styleId="Imported Style 7">
    <w:name w:val="Imported Style 7"/>
    <w:pPr>
      <w:numPr>
        <w:numId w:val="26"/>
      </w:numPr>
    </w:pPr>
  </w:style>
  <w:style w:type="character" w:styleId="Link">
    <w:name w:val="Link"/>
    <w:rPr>
      <w:color w:val="0000ff"/>
      <w:u w:color="0000ff" w:val="single"/>
    </w:rPr>
  </w:style>
  <w:style w:type="character" w:styleId="Hyperlink.0">
    <w:name w:val="Hyperlink.0"/>
    <w:basedOn w:val="Link"/>
    <w:next w:val="Hyperlink.0"/>
    <w:rPr>
      <w:color w:val="000000"/>
      <w:u w:color="000000"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aysomethingin.com/welsh/course1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m+HEDNOtTYO9m/xsJz6kGtrmgQ==">AMUW2mVHQd4wF17U8jn5gc+ikLxZ5wU6lo5BbNt2Rwfz3RL6dvfgT875SpwCjckjXyO6M96iy3Cbflau5uMc3UYr1uNta/bpDN7dihqf18iLbauYPiNSvks=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